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B9D57" w14:textId="7A9E725C" w:rsidR="002F201A" w:rsidRPr="008367E5" w:rsidRDefault="00107C7A" w:rsidP="00107C7A">
      <w:pPr>
        <w:jc w:val="center"/>
        <w:rPr>
          <w:b/>
          <w:bCs/>
          <w:sz w:val="28"/>
          <w:szCs w:val="28"/>
          <w:lang w:val="sr-Latn-RS"/>
        </w:rPr>
      </w:pPr>
      <w:r w:rsidRPr="008367E5">
        <w:rPr>
          <w:b/>
          <w:bCs/>
          <w:sz w:val="28"/>
          <w:szCs w:val="28"/>
          <w:lang w:val="sr-Latn-RS"/>
        </w:rPr>
        <w:t>Odgovori na Primedbe na studiju o proceni uticaja na životnu sredinu</w:t>
      </w:r>
      <w:r w:rsidR="00F211C3">
        <w:rPr>
          <w:b/>
          <w:bCs/>
          <w:sz w:val="28"/>
          <w:szCs w:val="28"/>
          <w:lang w:val="sr-Latn-RS"/>
        </w:rPr>
        <w:t xml:space="preserve"> </w:t>
      </w:r>
      <w:r w:rsidRPr="008367E5">
        <w:rPr>
          <w:b/>
          <w:bCs/>
          <w:sz w:val="28"/>
          <w:szCs w:val="28"/>
          <w:lang w:val="sr-Latn-RS"/>
        </w:rPr>
        <w:t>projek</w:t>
      </w:r>
      <w:r w:rsidR="00F211C3">
        <w:rPr>
          <w:b/>
          <w:bCs/>
          <w:sz w:val="28"/>
          <w:szCs w:val="28"/>
          <w:lang w:val="sr-Latn-RS"/>
        </w:rPr>
        <w:t>ta</w:t>
      </w:r>
      <w:r w:rsidRPr="008367E5">
        <w:rPr>
          <w:b/>
          <w:bCs/>
          <w:sz w:val="28"/>
          <w:szCs w:val="28"/>
          <w:lang w:val="sr-Latn-RS"/>
        </w:rPr>
        <w:t xml:space="preserve"> </w:t>
      </w:r>
      <w:r w:rsidR="00F211C3">
        <w:rPr>
          <w:b/>
          <w:bCs/>
          <w:sz w:val="28"/>
          <w:szCs w:val="28"/>
          <w:lang w:val="sr-Latn-RS"/>
        </w:rPr>
        <w:t xml:space="preserve">Izgradnja postrojenja za </w:t>
      </w:r>
      <w:proofErr w:type="spellStart"/>
      <w:r w:rsidR="00F211C3">
        <w:rPr>
          <w:b/>
          <w:bCs/>
          <w:sz w:val="28"/>
          <w:szCs w:val="28"/>
          <w:lang w:val="sr-Latn-RS"/>
        </w:rPr>
        <w:t>odsumporavanje</w:t>
      </w:r>
      <w:proofErr w:type="spellEnd"/>
      <w:r w:rsidR="00F211C3">
        <w:rPr>
          <w:b/>
          <w:bCs/>
          <w:sz w:val="28"/>
          <w:szCs w:val="28"/>
          <w:lang w:val="sr-Latn-RS"/>
        </w:rPr>
        <w:t xml:space="preserve"> dimnih gasova blokova B1 i B2, na lokaciji TE „Nikola Tesla B“, KO Ušće</w:t>
      </w:r>
    </w:p>
    <w:p w14:paraId="1D6BF5D3" w14:textId="560207F6" w:rsidR="00107C7A" w:rsidRPr="008367E5" w:rsidRDefault="00107C7A" w:rsidP="00107C7A">
      <w:pPr>
        <w:jc w:val="both"/>
        <w:rPr>
          <w:szCs w:val="24"/>
          <w:lang w:val="sr-Latn-RS"/>
        </w:rPr>
      </w:pPr>
    </w:p>
    <w:p w14:paraId="26F85996" w14:textId="77777777" w:rsidR="00107C7A" w:rsidRPr="008367E5" w:rsidRDefault="00107C7A" w:rsidP="00107C7A">
      <w:pPr>
        <w:jc w:val="both"/>
        <w:rPr>
          <w:szCs w:val="24"/>
          <w:lang w:val="sr-Latn-RS"/>
        </w:rPr>
      </w:pPr>
    </w:p>
    <w:p w14:paraId="2CF82E4C" w14:textId="508E7E5A" w:rsidR="00107C7A" w:rsidRPr="008367E5" w:rsidRDefault="00107C7A" w:rsidP="00107C7A">
      <w:pPr>
        <w:jc w:val="both"/>
        <w:rPr>
          <w:szCs w:val="24"/>
          <w:lang w:val="sr-Latn-RS"/>
        </w:rPr>
      </w:pPr>
      <w:r w:rsidRPr="008367E5">
        <w:rPr>
          <w:szCs w:val="24"/>
          <w:lang w:val="sr-Latn-RS"/>
        </w:rPr>
        <w:t xml:space="preserve">U skladu sa dopisom Ministarstva zaštite životne sredine (broj </w:t>
      </w:r>
      <w:r w:rsidR="00F211C3">
        <w:rPr>
          <w:szCs w:val="24"/>
          <w:lang w:val="sr-Latn-RS"/>
        </w:rPr>
        <w:t>353-02-02974/2021-03</w:t>
      </w:r>
      <w:r w:rsidRPr="008367E5">
        <w:rPr>
          <w:szCs w:val="24"/>
          <w:lang w:val="sr-Latn-RS"/>
        </w:rPr>
        <w:t xml:space="preserve"> od </w:t>
      </w:r>
      <w:r w:rsidR="00F211C3">
        <w:rPr>
          <w:szCs w:val="24"/>
          <w:lang w:val="sr-Latn-RS"/>
        </w:rPr>
        <w:t>01.03.2022</w:t>
      </w:r>
      <w:r w:rsidRPr="008367E5">
        <w:rPr>
          <w:szCs w:val="24"/>
          <w:lang w:val="sr-Latn-RS"/>
        </w:rPr>
        <w:t>. godine) dobijen</w:t>
      </w:r>
      <w:r w:rsidR="00CA3E16">
        <w:rPr>
          <w:szCs w:val="24"/>
          <w:lang w:val="sr-Latn-RS"/>
        </w:rPr>
        <w:t>i</w:t>
      </w:r>
      <w:r w:rsidRPr="008367E5">
        <w:rPr>
          <w:szCs w:val="24"/>
          <w:lang w:val="sr-Latn-RS"/>
        </w:rPr>
        <w:t xml:space="preserve"> su </w:t>
      </w:r>
      <w:r w:rsidR="00CA3E16">
        <w:rPr>
          <w:szCs w:val="24"/>
          <w:lang w:val="sr-Latn-RS"/>
        </w:rPr>
        <w:t xml:space="preserve">komentari </w:t>
      </w:r>
      <w:r w:rsidR="00EA5C1E">
        <w:rPr>
          <w:szCs w:val="24"/>
          <w:lang w:val="sr-Latn-RS"/>
        </w:rPr>
        <w:t>Koalicije za održivo rudarstvo u Srbiji (KORS)</w:t>
      </w:r>
      <w:r w:rsidR="00CA3E16">
        <w:rPr>
          <w:szCs w:val="24"/>
          <w:lang w:val="sr-Latn-RS"/>
        </w:rPr>
        <w:t xml:space="preserve"> na </w:t>
      </w:r>
      <w:r w:rsidRPr="008367E5">
        <w:rPr>
          <w:szCs w:val="24"/>
          <w:lang w:val="sr-Latn-RS"/>
        </w:rPr>
        <w:t xml:space="preserve"> </w:t>
      </w:r>
      <w:r w:rsidR="00CA3E16">
        <w:rPr>
          <w:szCs w:val="24"/>
          <w:lang w:val="sr-Latn-RS"/>
        </w:rPr>
        <w:t>S</w:t>
      </w:r>
      <w:r w:rsidRPr="008367E5">
        <w:rPr>
          <w:szCs w:val="24"/>
          <w:lang w:val="sr-Latn-RS"/>
        </w:rPr>
        <w:t>tudij</w:t>
      </w:r>
      <w:r w:rsidR="00CA3E16">
        <w:rPr>
          <w:szCs w:val="24"/>
          <w:lang w:val="sr-Latn-RS"/>
        </w:rPr>
        <w:t>u</w:t>
      </w:r>
      <w:r w:rsidRPr="008367E5">
        <w:rPr>
          <w:szCs w:val="24"/>
          <w:lang w:val="sr-Latn-RS"/>
        </w:rPr>
        <w:t xml:space="preserve"> o proceni uticaja na životnu sredinu</w:t>
      </w:r>
      <w:r w:rsidR="00F211C3">
        <w:rPr>
          <w:szCs w:val="24"/>
          <w:lang w:val="sr-Latn-RS"/>
        </w:rPr>
        <w:t xml:space="preserve"> </w:t>
      </w:r>
      <w:r w:rsidR="00F211C3" w:rsidRPr="00F211C3">
        <w:rPr>
          <w:szCs w:val="24"/>
          <w:lang w:val="sr-Latn-RS"/>
        </w:rPr>
        <w:t xml:space="preserve">projekta Izgradnja postrojenja za </w:t>
      </w:r>
      <w:proofErr w:type="spellStart"/>
      <w:r w:rsidR="00F211C3" w:rsidRPr="00F211C3">
        <w:rPr>
          <w:szCs w:val="24"/>
          <w:lang w:val="sr-Latn-RS"/>
        </w:rPr>
        <w:t>odsumporavanje</w:t>
      </w:r>
      <w:proofErr w:type="spellEnd"/>
      <w:r w:rsidR="00F211C3" w:rsidRPr="00F211C3">
        <w:rPr>
          <w:szCs w:val="24"/>
          <w:lang w:val="sr-Latn-RS"/>
        </w:rPr>
        <w:t xml:space="preserve"> dimnih gasova blokova B1 i B2, na lokaciji TE „Nikola Tesla B“, KO Ušće</w:t>
      </w:r>
      <w:r w:rsidRPr="008367E5">
        <w:rPr>
          <w:szCs w:val="24"/>
          <w:lang w:val="sr-Latn-RS"/>
        </w:rPr>
        <w:t>.</w:t>
      </w:r>
    </w:p>
    <w:p w14:paraId="3F100A96" w14:textId="19BD0ED0" w:rsidR="00107C7A" w:rsidRPr="008367E5" w:rsidRDefault="00107C7A" w:rsidP="00107C7A">
      <w:pPr>
        <w:jc w:val="both"/>
        <w:rPr>
          <w:szCs w:val="24"/>
          <w:lang w:val="sr-Latn-RS"/>
        </w:rPr>
      </w:pPr>
      <w:r w:rsidRPr="008367E5">
        <w:rPr>
          <w:szCs w:val="24"/>
          <w:lang w:val="sr-Latn-RS"/>
        </w:rPr>
        <w:t xml:space="preserve">U skladu sa </w:t>
      </w:r>
      <w:r w:rsidR="00CA3E16">
        <w:rPr>
          <w:szCs w:val="24"/>
          <w:lang w:val="sr-Latn-RS"/>
        </w:rPr>
        <w:t>dopisom Ministarstva zaštite životne sredine u daljem tekstu dajemo odgovore na komentare</w:t>
      </w:r>
      <w:r w:rsidRPr="008367E5">
        <w:rPr>
          <w:szCs w:val="24"/>
          <w:lang w:val="sr-Latn-RS"/>
        </w:rPr>
        <w:t>.</w:t>
      </w:r>
    </w:p>
    <w:p w14:paraId="2BCF4BFC" w14:textId="3D231557" w:rsidR="00107C7A" w:rsidRDefault="00107C7A" w:rsidP="00107C7A">
      <w:pPr>
        <w:jc w:val="both"/>
        <w:rPr>
          <w:szCs w:val="24"/>
          <w:lang w:val="sr-Latn-RS"/>
        </w:rPr>
      </w:pPr>
    </w:p>
    <w:p w14:paraId="05F68FD6" w14:textId="7698897D" w:rsidR="00F211C3" w:rsidRDefault="00AD5C3F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Opšti komentari</w:t>
      </w:r>
      <w:r w:rsidR="00F211C3">
        <w:rPr>
          <w:szCs w:val="24"/>
          <w:lang w:val="sr-Latn-RS"/>
        </w:rPr>
        <w:t>:</w:t>
      </w:r>
    </w:p>
    <w:p w14:paraId="36943379" w14:textId="7727C178" w:rsidR="00AD5C3F" w:rsidRDefault="00F40DCC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Projekat ODG na blokovima TENT B je već odavno osmišljen, i ušao je u obavezu Srbije prema NERP i kao takav se nalazi u našoj pregovaračkoj poziciji. </w:t>
      </w:r>
    </w:p>
    <w:p w14:paraId="4B361B6B" w14:textId="3097AC0C" w:rsidR="0029553D" w:rsidRDefault="0029553D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Studija o proceni uticaja ne treba da sagledava ekonomsko finansijsku opravdanost investicije – projekta, već se to sagledava kroz studiju opravdanosti.</w:t>
      </w:r>
    </w:p>
    <w:p w14:paraId="2FFCA512" w14:textId="77777777" w:rsidR="004572F2" w:rsidRDefault="004572F2" w:rsidP="00107C7A">
      <w:pPr>
        <w:jc w:val="both"/>
        <w:rPr>
          <w:szCs w:val="24"/>
          <w:lang w:val="sr-Latn-RS"/>
        </w:rPr>
      </w:pPr>
    </w:p>
    <w:p w14:paraId="4FAAE3F5" w14:textId="428CA6DB" w:rsidR="00501BED" w:rsidRDefault="00501BED" w:rsidP="00501BED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Pojedinačni komentari:</w:t>
      </w:r>
    </w:p>
    <w:p w14:paraId="1E710B72" w14:textId="2ACA09E5" w:rsidR="00A33DF4" w:rsidRDefault="00F40DCC" w:rsidP="00F40DCC">
      <w:pPr>
        <w:pStyle w:val="ListParagraph"/>
        <w:numPr>
          <w:ilvl w:val="0"/>
          <w:numId w:val="13"/>
        </w:numPr>
        <w:ind w:left="426" w:hanging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>Efekat smanjenja emisije SO</w:t>
      </w:r>
      <w:r>
        <w:rPr>
          <w:szCs w:val="24"/>
          <w:vertAlign w:val="subscript"/>
          <w:lang w:val="sr-Latn-RS"/>
        </w:rPr>
        <w:t>2</w:t>
      </w:r>
      <w:r>
        <w:rPr>
          <w:szCs w:val="24"/>
          <w:lang w:val="sr-Latn-RS"/>
        </w:rPr>
        <w:t xml:space="preserve"> i ostalih komponenata je veći od povećanja emisije CO</w:t>
      </w:r>
      <w:r>
        <w:rPr>
          <w:szCs w:val="24"/>
          <w:vertAlign w:val="subscript"/>
          <w:lang w:val="sr-Latn-RS"/>
        </w:rPr>
        <w:t>2</w:t>
      </w:r>
      <w:r w:rsidR="00DE18B4">
        <w:rPr>
          <w:szCs w:val="24"/>
          <w:lang w:val="sr-Latn-RS"/>
        </w:rPr>
        <w:t xml:space="preserve"> koje je nastalo </w:t>
      </w:r>
      <w:r>
        <w:rPr>
          <w:szCs w:val="24"/>
          <w:lang w:val="sr-Latn-RS"/>
        </w:rPr>
        <w:t>usled tehnologije primenjenog vlažnog postupka ODG. Pored toga, smanjenje emisija SO</w:t>
      </w:r>
      <w:r w:rsidRPr="00F40DCC">
        <w:rPr>
          <w:szCs w:val="24"/>
          <w:vertAlign w:val="subscript"/>
          <w:lang w:val="sr-Latn-RS"/>
        </w:rPr>
        <w:t>2</w:t>
      </w:r>
      <w:r>
        <w:rPr>
          <w:szCs w:val="24"/>
          <w:lang w:val="sr-Latn-RS"/>
        </w:rPr>
        <w:t xml:space="preserve"> je i nacionalna obaveza</w:t>
      </w:r>
      <w:r w:rsidR="00DE18B4">
        <w:rPr>
          <w:szCs w:val="24"/>
          <w:lang w:val="sr-Latn-RS"/>
        </w:rPr>
        <w:t xml:space="preserve"> u skladu sa </w:t>
      </w:r>
      <w:r w:rsidR="001003FA">
        <w:rPr>
          <w:szCs w:val="24"/>
          <w:lang w:val="sr-Latn-RS"/>
        </w:rPr>
        <w:t xml:space="preserve">međunarodnim </w:t>
      </w:r>
      <w:r w:rsidR="00DE18B4">
        <w:rPr>
          <w:szCs w:val="24"/>
          <w:lang w:val="sr-Latn-RS"/>
        </w:rPr>
        <w:t>sporazumima (NERP)</w:t>
      </w:r>
    </w:p>
    <w:p w14:paraId="76507558" w14:textId="0E43BB88" w:rsidR="00A034E8" w:rsidRDefault="00A034E8" w:rsidP="00F40DCC">
      <w:pPr>
        <w:pStyle w:val="ListParagraph"/>
        <w:numPr>
          <w:ilvl w:val="0"/>
          <w:numId w:val="13"/>
        </w:numPr>
        <w:ind w:left="426" w:hanging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>Rečenica na strani 54 je izmenjena i sada glasi</w:t>
      </w:r>
    </w:p>
    <w:p w14:paraId="6DFD73DD" w14:textId="0A682C84" w:rsidR="00A034E8" w:rsidRDefault="00A034E8" w:rsidP="00A034E8">
      <w:pPr>
        <w:tabs>
          <w:tab w:val="left" w:pos="426"/>
          <w:tab w:val="right" w:leader="hyphen" w:pos="9072"/>
        </w:tabs>
        <w:spacing w:before="120" w:after="120"/>
        <w:rPr>
          <w:rFonts w:ascii="Tahoma" w:hAnsi="Tahoma" w:cs="Arial"/>
          <w:sz w:val="20"/>
          <w:szCs w:val="20"/>
          <w:lang w:val="sr-Latn-RS"/>
        </w:rPr>
      </w:pPr>
      <w:r>
        <w:rPr>
          <w:rFonts w:ascii="Tahoma" w:hAnsi="Tahoma" w:cs="Arial"/>
          <w:sz w:val="20"/>
          <w:szCs w:val="20"/>
          <w:lang w:val="sr-Latn-RS"/>
        </w:rPr>
        <w:tab/>
      </w:r>
      <w:r w:rsidRPr="00A034E8">
        <w:rPr>
          <w:rFonts w:ascii="Tahoma" w:hAnsi="Tahoma" w:cs="Arial"/>
          <w:sz w:val="20"/>
          <w:szCs w:val="20"/>
          <w:lang w:val="sr-Latn-RS"/>
        </w:rPr>
        <w:t>Sopstvena potrošnja električne energije predstavlja 4,85-5,60% proizvedene</w:t>
      </w:r>
      <w:r w:rsidR="00A949F0">
        <w:rPr>
          <w:rFonts w:ascii="Tahoma" w:hAnsi="Tahoma" w:cs="Arial"/>
          <w:sz w:val="20"/>
          <w:szCs w:val="20"/>
          <w:lang w:val="sr-Latn-RS"/>
        </w:rPr>
        <w:t xml:space="preserve"> (32,25 – 37,24 MW)</w:t>
      </w:r>
      <w:r w:rsidRPr="00A034E8">
        <w:rPr>
          <w:rFonts w:ascii="Tahoma" w:hAnsi="Tahoma" w:cs="Arial"/>
          <w:sz w:val="20"/>
          <w:szCs w:val="20"/>
          <w:lang w:val="sr-Latn-RS"/>
        </w:rPr>
        <w:t>.</w:t>
      </w:r>
    </w:p>
    <w:p w14:paraId="598076C1" w14:textId="4BBDD7A8" w:rsidR="009C592C" w:rsidRPr="00A034E8" w:rsidRDefault="009C592C" w:rsidP="00A034E8">
      <w:pPr>
        <w:tabs>
          <w:tab w:val="left" w:pos="426"/>
          <w:tab w:val="right" w:leader="hyphen" w:pos="9072"/>
        </w:tabs>
        <w:spacing w:before="120" w:after="120"/>
        <w:rPr>
          <w:rFonts w:ascii="Tahoma" w:hAnsi="Tahoma" w:cs="Arial"/>
          <w:sz w:val="20"/>
          <w:szCs w:val="20"/>
          <w:lang w:val="sr-Latn-RS"/>
        </w:rPr>
      </w:pPr>
      <w:r>
        <w:rPr>
          <w:rFonts w:ascii="Tahoma" w:hAnsi="Tahoma" w:cs="Arial"/>
          <w:sz w:val="20"/>
          <w:szCs w:val="20"/>
          <w:lang w:val="sr-Latn-RS"/>
        </w:rPr>
        <w:tab/>
        <w:t>U tabeli 3.4-2 Parametri rada blokova B1-B2 dodat je red sopstvena potrošnja blokova</w:t>
      </w:r>
    </w:p>
    <w:p w14:paraId="6D280294" w14:textId="6E301767" w:rsidR="00BC3331" w:rsidRDefault="00BC3331" w:rsidP="00812065">
      <w:pPr>
        <w:jc w:val="both"/>
        <w:rPr>
          <w:szCs w:val="24"/>
          <w:lang w:val="sr-Latn-RS"/>
        </w:rPr>
      </w:pPr>
    </w:p>
    <w:p w14:paraId="45FEC29A" w14:textId="4A0C02AE" w:rsidR="00812065" w:rsidRPr="00812065" w:rsidRDefault="00812065" w:rsidP="00812065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Proračun postrojenja za ODG je rađeno za ugalj najlošijeg kvaliteta.</w:t>
      </w:r>
    </w:p>
    <w:p w14:paraId="113CEA8F" w14:textId="77777777" w:rsidR="00DE18B4" w:rsidRPr="004B208A" w:rsidRDefault="00BC3331" w:rsidP="00DE18B4">
      <w:pPr>
        <w:jc w:val="both"/>
        <w:rPr>
          <w:szCs w:val="24"/>
          <w:lang w:val="sr-Cyrl-RS"/>
        </w:rPr>
      </w:pPr>
      <w:r>
        <w:rPr>
          <w:szCs w:val="24"/>
          <w:lang w:val="sr-Latn-RS"/>
        </w:rPr>
        <w:t>Emisija CO</w:t>
      </w:r>
      <w:r>
        <w:rPr>
          <w:szCs w:val="24"/>
          <w:vertAlign w:val="subscript"/>
          <w:lang w:val="sr-Latn-RS"/>
        </w:rPr>
        <w:t>2</w:t>
      </w:r>
      <w:r>
        <w:rPr>
          <w:szCs w:val="24"/>
          <w:lang w:val="sr-Latn-RS"/>
        </w:rPr>
        <w:t xml:space="preserve"> se povećava u procesu ODG u odnosu kada </w:t>
      </w:r>
      <w:proofErr w:type="spellStart"/>
      <w:r>
        <w:rPr>
          <w:szCs w:val="24"/>
          <w:lang w:val="sr-Latn-RS"/>
        </w:rPr>
        <w:t>odsumporavanja</w:t>
      </w:r>
      <w:proofErr w:type="spellEnd"/>
      <w:r>
        <w:rPr>
          <w:szCs w:val="24"/>
          <w:lang w:val="sr-Latn-RS"/>
        </w:rPr>
        <w:t xml:space="preserve"> dimnih gasova nema. U studiji su na strani 99, dati podaci o povećanju emisije CO</w:t>
      </w:r>
      <w:r>
        <w:rPr>
          <w:szCs w:val="24"/>
          <w:vertAlign w:val="subscript"/>
          <w:lang w:val="sr-Latn-RS"/>
        </w:rPr>
        <w:t>2</w:t>
      </w:r>
      <w:r>
        <w:rPr>
          <w:szCs w:val="24"/>
          <w:lang w:val="sr-Latn-RS"/>
        </w:rPr>
        <w:t xml:space="preserve">. </w:t>
      </w:r>
      <w:r w:rsidRPr="004B208A">
        <w:rPr>
          <w:szCs w:val="24"/>
          <w:lang w:val="sr-Latn-RS"/>
        </w:rPr>
        <w:t>Na osnovu podataka materijalnog bilansa povećanje sadržaja CO</w:t>
      </w:r>
      <w:r w:rsidRPr="004B208A">
        <w:rPr>
          <w:szCs w:val="24"/>
          <w:vertAlign w:val="subscript"/>
          <w:lang w:val="sr-Latn-RS"/>
        </w:rPr>
        <w:t>2</w:t>
      </w:r>
      <w:r w:rsidRPr="004B208A">
        <w:rPr>
          <w:szCs w:val="24"/>
          <w:lang w:val="sr-Latn-RS"/>
        </w:rPr>
        <w:t xml:space="preserve"> u prečišćenom dimnom gasu u odnosu na neprečišćeni iznosi oko 1,5% što je na satnom nivou 12168 kg/h odnosno na godišnjem 91260 t/god (podaci za jedan blok).</w:t>
      </w:r>
      <w:r>
        <w:rPr>
          <w:szCs w:val="24"/>
          <w:lang w:val="sr-Latn-RS"/>
        </w:rPr>
        <w:t xml:space="preserve"> Treba napomenuti da je povećanje emisije CO</w:t>
      </w:r>
      <w:r>
        <w:rPr>
          <w:szCs w:val="24"/>
          <w:vertAlign w:val="subscript"/>
          <w:lang w:val="sr-Latn-RS"/>
        </w:rPr>
        <w:t>2</w:t>
      </w:r>
      <w:r>
        <w:rPr>
          <w:szCs w:val="24"/>
          <w:lang w:val="sr-Latn-RS"/>
        </w:rPr>
        <w:t xml:space="preserve"> usled samog tehnološkog postupka ODG (usled odvijanja hemijskih reakcija </w:t>
      </w:r>
      <w:proofErr w:type="spellStart"/>
      <w:r>
        <w:rPr>
          <w:szCs w:val="24"/>
          <w:lang w:val="sr-Latn-RS"/>
        </w:rPr>
        <w:t>odsumporavanja</w:t>
      </w:r>
      <w:proofErr w:type="spellEnd"/>
      <w:r>
        <w:rPr>
          <w:szCs w:val="24"/>
          <w:lang w:val="sr-Latn-RS"/>
        </w:rPr>
        <w:t>) i ono je neminovno. Efekat negativnog uticaja povećanja emisije CO</w:t>
      </w:r>
      <w:r>
        <w:rPr>
          <w:szCs w:val="24"/>
          <w:vertAlign w:val="subscript"/>
          <w:lang w:val="sr-Latn-RS"/>
        </w:rPr>
        <w:t>2</w:t>
      </w:r>
      <w:r>
        <w:rPr>
          <w:szCs w:val="24"/>
          <w:lang w:val="sr-Latn-RS"/>
        </w:rPr>
        <w:t xml:space="preserve"> je neuporedivo manji od pozitivnog uticaja smanjenja emisije SO</w:t>
      </w:r>
      <w:r>
        <w:rPr>
          <w:szCs w:val="24"/>
          <w:vertAlign w:val="subscript"/>
          <w:lang w:val="sr-Latn-RS"/>
        </w:rPr>
        <w:t>2</w:t>
      </w:r>
      <w:r>
        <w:rPr>
          <w:szCs w:val="24"/>
          <w:lang w:val="sr-Latn-RS"/>
        </w:rPr>
        <w:t xml:space="preserve"> i posrednog smanjenja emisije </w:t>
      </w:r>
      <w:proofErr w:type="spellStart"/>
      <w:r>
        <w:rPr>
          <w:szCs w:val="24"/>
          <w:lang w:val="sr-Latn-RS"/>
        </w:rPr>
        <w:t>HCl</w:t>
      </w:r>
      <w:proofErr w:type="spellEnd"/>
      <w:r>
        <w:rPr>
          <w:szCs w:val="24"/>
          <w:lang w:val="sr-Latn-RS"/>
        </w:rPr>
        <w:t>, HF i praškastih materija.</w:t>
      </w:r>
      <w:r w:rsidR="00DE18B4">
        <w:rPr>
          <w:szCs w:val="24"/>
          <w:lang w:val="sr-Latn-RS"/>
        </w:rPr>
        <w:t xml:space="preserve"> Povećanje emisije CO2 u odnosu na ukupne emisije CO2 RS iznosi 0,3%, dok je smanjenje emisije </w:t>
      </w:r>
      <w:proofErr w:type="spellStart"/>
      <w:r w:rsidR="00DE18B4">
        <w:rPr>
          <w:szCs w:val="24"/>
          <w:lang w:val="sr-Latn-RS"/>
        </w:rPr>
        <w:t>SOx</w:t>
      </w:r>
      <w:proofErr w:type="spellEnd"/>
      <w:r w:rsidR="00DE18B4">
        <w:rPr>
          <w:szCs w:val="24"/>
          <w:lang w:val="sr-Latn-RS"/>
        </w:rPr>
        <w:t xml:space="preserve"> 30% ukupnih nacionalnih emisija</w:t>
      </w:r>
    </w:p>
    <w:p w14:paraId="6A93B1F6" w14:textId="77777777" w:rsidR="00BC3331" w:rsidRDefault="00BC3331" w:rsidP="00BC3331">
      <w:pPr>
        <w:pStyle w:val="ListParagraph"/>
        <w:ind w:left="426"/>
        <w:jc w:val="both"/>
        <w:rPr>
          <w:szCs w:val="24"/>
          <w:lang w:val="sr-Latn-RS"/>
        </w:rPr>
      </w:pPr>
    </w:p>
    <w:p w14:paraId="01C59107" w14:textId="74C2B85F" w:rsidR="00EC1D1A" w:rsidRDefault="00EC1D1A" w:rsidP="00EC1D1A">
      <w:pPr>
        <w:pStyle w:val="ListParagraph"/>
        <w:numPr>
          <w:ilvl w:val="0"/>
          <w:numId w:val="13"/>
        </w:numPr>
        <w:ind w:left="426" w:hanging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Na strani 97. u poglavlju </w:t>
      </w:r>
      <w:r w:rsidRPr="00EC1D1A">
        <w:rPr>
          <w:szCs w:val="24"/>
          <w:lang w:val="sr-Latn-RS"/>
        </w:rPr>
        <w:t>3.6. Vrste i količine potrebnih sirovina, energije i energenata</w:t>
      </w:r>
      <w:r>
        <w:rPr>
          <w:szCs w:val="24"/>
          <w:lang w:val="sr-Latn-RS"/>
        </w:rPr>
        <w:t xml:space="preserve"> pod delom </w:t>
      </w:r>
      <w:r w:rsidRPr="00EC1D1A">
        <w:rPr>
          <w:szCs w:val="24"/>
          <w:lang w:val="sr-Latn-RS"/>
        </w:rPr>
        <w:t>Energija i energenti</w:t>
      </w:r>
      <w:r>
        <w:rPr>
          <w:szCs w:val="24"/>
          <w:lang w:val="sr-Latn-RS"/>
        </w:rPr>
        <w:t xml:space="preserve"> data je sopstvena potrošnja postrojenja za ODG </w:t>
      </w:r>
      <w:r w:rsidRPr="00EC1D1A">
        <w:rPr>
          <w:szCs w:val="24"/>
          <w:lang w:val="sr-Latn-RS"/>
        </w:rPr>
        <w:t>koja se kreće u opsegu od 25,5 do 32,5 MW</w:t>
      </w:r>
      <w:r>
        <w:rPr>
          <w:szCs w:val="24"/>
          <w:lang w:val="sr-Latn-RS"/>
        </w:rPr>
        <w:t>.</w:t>
      </w:r>
    </w:p>
    <w:p w14:paraId="724C1F17" w14:textId="26E0866E" w:rsidR="00A33DF4" w:rsidRPr="0029553D" w:rsidRDefault="009C592C" w:rsidP="00F211C3">
      <w:pPr>
        <w:pStyle w:val="ListParagraph"/>
        <w:numPr>
          <w:ilvl w:val="0"/>
          <w:numId w:val="13"/>
        </w:numPr>
        <w:ind w:left="426" w:hanging="426"/>
        <w:jc w:val="both"/>
        <w:rPr>
          <w:szCs w:val="24"/>
          <w:lang w:val="sr-Latn-RS"/>
        </w:rPr>
      </w:pPr>
      <w:r w:rsidRPr="0029553D">
        <w:rPr>
          <w:szCs w:val="24"/>
          <w:lang w:val="sr-Latn-RS"/>
        </w:rPr>
        <w:t xml:space="preserve">U studiji je navedeno </w:t>
      </w:r>
      <w:r w:rsidR="00F11F5B" w:rsidRPr="0029553D">
        <w:rPr>
          <w:szCs w:val="24"/>
          <w:lang w:val="sr-Latn-RS"/>
        </w:rPr>
        <w:t xml:space="preserve">da </w:t>
      </w:r>
      <w:r w:rsidR="00E67326" w:rsidRPr="0029553D">
        <w:rPr>
          <w:szCs w:val="24"/>
          <w:lang w:val="sr-Latn-RS"/>
        </w:rPr>
        <w:t xml:space="preserve">prema aktuelnim planovima eksploatacije ugljeva sa površinskih kopova u okviru Kolubarskog basena i snabdevanja TENT B ugljem u periodu do kraja radnog veka, za blokove B1 i B2 planira se korišćenje uglja dominantno sa PK </w:t>
      </w:r>
      <w:proofErr w:type="spellStart"/>
      <w:r w:rsidR="00E67326" w:rsidRPr="0029553D">
        <w:rPr>
          <w:szCs w:val="24"/>
          <w:lang w:val="sr-Latn-RS"/>
        </w:rPr>
        <w:t>Tamnava</w:t>
      </w:r>
      <w:proofErr w:type="spellEnd"/>
      <w:r w:rsidR="00E67326" w:rsidRPr="0029553D">
        <w:rPr>
          <w:szCs w:val="24"/>
          <w:lang w:val="sr-Latn-RS"/>
        </w:rPr>
        <w:t xml:space="preserve"> Zapadno polje (u iznosu od 80%) i sa PK Polje E (u iznosu od 20%). Detaljna analiza kvaliteta uglja sa pomenutih kopova u periodu 2011-2035. godina, po </w:t>
      </w:r>
      <w:proofErr w:type="spellStart"/>
      <w:r w:rsidR="00E67326" w:rsidRPr="0029553D">
        <w:rPr>
          <w:szCs w:val="24"/>
          <w:lang w:val="sr-Latn-RS"/>
        </w:rPr>
        <w:t>petogodištima</w:t>
      </w:r>
      <w:proofErr w:type="spellEnd"/>
      <w:r w:rsidR="00E67326" w:rsidRPr="0029553D">
        <w:rPr>
          <w:szCs w:val="24"/>
          <w:lang w:val="sr-Latn-RS"/>
        </w:rPr>
        <w:t>, prikazana je u okviru Elaborata o izboru referentnih karakteristika uglja sa kolubarskih površinskih kopova kojim se snabdevaju TE Nikola Tesla B (Univerzitet u Beogradu, Mašinski fakultet, izveštaj broj 001-3/MF/2012).</w:t>
      </w:r>
      <w:r w:rsidR="00C82822" w:rsidRPr="0029553D">
        <w:rPr>
          <w:szCs w:val="24"/>
          <w:lang w:val="sr-Latn-RS"/>
        </w:rPr>
        <w:t xml:space="preserve"> Za proračun postrojenja za ODG kao podloga su uzete karakteristike uglja date u tabeli 3.4-1.</w:t>
      </w:r>
    </w:p>
    <w:sectPr w:rsidR="00A33DF4" w:rsidRPr="0029553D" w:rsidSect="00331490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Courier">
    <w:panose1 w:val="02027200000000000000"/>
    <w:charset w:val="00"/>
    <w:family w:val="roman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1618C"/>
    <w:multiLevelType w:val="hybridMultilevel"/>
    <w:tmpl w:val="27B48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1428E"/>
    <w:multiLevelType w:val="hybridMultilevel"/>
    <w:tmpl w:val="17CC60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B5A1E"/>
    <w:multiLevelType w:val="hybridMultilevel"/>
    <w:tmpl w:val="3BB895B8"/>
    <w:lvl w:ilvl="0" w:tplc="FE5817B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53C0D"/>
    <w:multiLevelType w:val="hybridMultilevel"/>
    <w:tmpl w:val="F7D2F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C663CA"/>
    <w:multiLevelType w:val="multilevel"/>
    <w:tmpl w:val="CCFE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907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5" w15:restartNumberingAfterBreak="0">
    <w:nsid w:val="3E1733B1"/>
    <w:multiLevelType w:val="hybridMultilevel"/>
    <w:tmpl w:val="B6BCC5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814C89"/>
    <w:multiLevelType w:val="hybridMultilevel"/>
    <w:tmpl w:val="E558E83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B7678EF"/>
    <w:multiLevelType w:val="hybridMultilevel"/>
    <w:tmpl w:val="867E2614"/>
    <w:lvl w:ilvl="0" w:tplc="1A7423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6B6638"/>
    <w:multiLevelType w:val="hybridMultilevel"/>
    <w:tmpl w:val="9488C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5203F"/>
    <w:multiLevelType w:val="hybridMultilevel"/>
    <w:tmpl w:val="95008422"/>
    <w:lvl w:ilvl="0" w:tplc="8BA0FEC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2A5C61"/>
    <w:multiLevelType w:val="hybridMultilevel"/>
    <w:tmpl w:val="A3DE0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75D8A"/>
    <w:multiLevelType w:val="hybridMultilevel"/>
    <w:tmpl w:val="D14E4C92"/>
    <w:lvl w:ilvl="0" w:tplc="C624DB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4148CD"/>
    <w:multiLevelType w:val="hybridMultilevel"/>
    <w:tmpl w:val="6B76F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11"/>
  </w:num>
  <w:num w:numId="7">
    <w:abstractNumId w:val="0"/>
  </w:num>
  <w:num w:numId="8">
    <w:abstractNumId w:val="6"/>
  </w:num>
  <w:num w:numId="9">
    <w:abstractNumId w:val="4"/>
  </w:num>
  <w:num w:numId="10">
    <w:abstractNumId w:val="8"/>
  </w:num>
  <w:num w:numId="11">
    <w:abstractNumId w:val="12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E38"/>
    <w:rsid w:val="00001D6C"/>
    <w:rsid w:val="00012044"/>
    <w:rsid w:val="000F0E75"/>
    <w:rsid w:val="001003FA"/>
    <w:rsid w:val="00107C7A"/>
    <w:rsid w:val="0013102F"/>
    <w:rsid w:val="001A1D80"/>
    <w:rsid w:val="001B5A5D"/>
    <w:rsid w:val="001D565C"/>
    <w:rsid w:val="001F7181"/>
    <w:rsid w:val="002903A1"/>
    <w:rsid w:val="00290FE6"/>
    <w:rsid w:val="0029553D"/>
    <w:rsid w:val="00296658"/>
    <w:rsid w:val="002F201A"/>
    <w:rsid w:val="002F5CEA"/>
    <w:rsid w:val="00331490"/>
    <w:rsid w:val="00352157"/>
    <w:rsid w:val="00355BAC"/>
    <w:rsid w:val="003601C4"/>
    <w:rsid w:val="003804D7"/>
    <w:rsid w:val="00387CF1"/>
    <w:rsid w:val="003B2C05"/>
    <w:rsid w:val="003C0A78"/>
    <w:rsid w:val="004572F2"/>
    <w:rsid w:val="00487FB7"/>
    <w:rsid w:val="004F39CC"/>
    <w:rsid w:val="00501BED"/>
    <w:rsid w:val="00510B7F"/>
    <w:rsid w:val="0052464D"/>
    <w:rsid w:val="005571BA"/>
    <w:rsid w:val="005766F2"/>
    <w:rsid w:val="00580D5B"/>
    <w:rsid w:val="00584D9F"/>
    <w:rsid w:val="005D63CB"/>
    <w:rsid w:val="005E49A3"/>
    <w:rsid w:val="006B1247"/>
    <w:rsid w:val="006D4BD1"/>
    <w:rsid w:val="006E0231"/>
    <w:rsid w:val="006F4E38"/>
    <w:rsid w:val="00705F53"/>
    <w:rsid w:val="00761256"/>
    <w:rsid w:val="007E77B8"/>
    <w:rsid w:val="007F117F"/>
    <w:rsid w:val="00812065"/>
    <w:rsid w:val="008367E5"/>
    <w:rsid w:val="008378FD"/>
    <w:rsid w:val="00846F90"/>
    <w:rsid w:val="00857843"/>
    <w:rsid w:val="008C1237"/>
    <w:rsid w:val="008D572D"/>
    <w:rsid w:val="008E288C"/>
    <w:rsid w:val="008F73C7"/>
    <w:rsid w:val="009053A2"/>
    <w:rsid w:val="00913387"/>
    <w:rsid w:val="0092124C"/>
    <w:rsid w:val="009B3105"/>
    <w:rsid w:val="009C592C"/>
    <w:rsid w:val="009D086A"/>
    <w:rsid w:val="009D198B"/>
    <w:rsid w:val="009E569A"/>
    <w:rsid w:val="00A034E8"/>
    <w:rsid w:val="00A25AB2"/>
    <w:rsid w:val="00A33DF4"/>
    <w:rsid w:val="00A9134D"/>
    <w:rsid w:val="00A949F0"/>
    <w:rsid w:val="00AB4AA3"/>
    <w:rsid w:val="00AC5936"/>
    <w:rsid w:val="00AD5C3F"/>
    <w:rsid w:val="00BC3331"/>
    <w:rsid w:val="00C64286"/>
    <w:rsid w:val="00C82822"/>
    <w:rsid w:val="00CA3E16"/>
    <w:rsid w:val="00CD5A41"/>
    <w:rsid w:val="00CE2A77"/>
    <w:rsid w:val="00CE6FE1"/>
    <w:rsid w:val="00CF487C"/>
    <w:rsid w:val="00D3076F"/>
    <w:rsid w:val="00D96E10"/>
    <w:rsid w:val="00DE18B4"/>
    <w:rsid w:val="00DF193B"/>
    <w:rsid w:val="00E02636"/>
    <w:rsid w:val="00E6650C"/>
    <w:rsid w:val="00E67326"/>
    <w:rsid w:val="00EA5C1E"/>
    <w:rsid w:val="00EC1D1A"/>
    <w:rsid w:val="00EE2AF7"/>
    <w:rsid w:val="00F056A1"/>
    <w:rsid w:val="00F11F5B"/>
    <w:rsid w:val="00F211C3"/>
    <w:rsid w:val="00F40DCC"/>
    <w:rsid w:val="00FA24BA"/>
    <w:rsid w:val="00FE2D4E"/>
    <w:rsid w:val="00FF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11D74"/>
  <w15:chartTrackingRefBased/>
  <w15:docId w15:val="{32244FDC-77D3-4892-9E1F-5B4408B5E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PODNASLOV"/>
    <w:basedOn w:val="Normal"/>
    <w:next w:val="Normal"/>
    <w:link w:val="Heading2Char"/>
    <w:uiPriority w:val="1"/>
    <w:qFormat/>
    <w:rsid w:val="00CF487C"/>
    <w:pPr>
      <w:keepNext/>
      <w:widowControl w:val="0"/>
      <w:numPr>
        <w:ilvl w:val="1"/>
        <w:numId w:val="9"/>
      </w:numPr>
      <w:autoSpaceDE w:val="0"/>
      <w:autoSpaceDN w:val="0"/>
      <w:adjustRightInd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AF7"/>
    <w:pPr>
      <w:ind w:left="720"/>
      <w:contextualSpacing/>
    </w:pPr>
  </w:style>
  <w:style w:type="character" w:customStyle="1" w:styleId="Heading2Char">
    <w:name w:val="Heading 2 Char"/>
    <w:aliases w:val="PODNASLOV Char"/>
    <w:basedOn w:val="DefaultParagraphFont"/>
    <w:link w:val="Heading2"/>
    <w:uiPriority w:val="1"/>
    <w:rsid w:val="00CF487C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LAT">
    <w:name w:val="LAT"/>
    <w:basedOn w:val="Normal"/>
    <w:rsid w:val="00487FB7"/>
    <w:pPr>
      <w:overflowPunct w:val="0"/>
      <w:autoSpaceDE w:val="0"/>
      <w:autoSpaceDN w:val="0"/>
      <w:adjustRightInd w:val="0"/>
      <w:jc w:val="both"/>
      <w:textAlignment w:val="baseline"/>
    </w:pPr>
    <w:rPr>
      <w:rFonts w:ascii="Yu Courier" w:eastAsia="Times New Roman" w:hAnsi="Yu Courier" w:cs="Times New Roman"/>
      <w:color w:val="000080"/>
      <w:sz w:val="20"/>
      <w:szCs w:val="20"/>
    </w:rPr>
  </w:style>
  <w:style w:type="paragraph" w:styleId="Revision">
    <w:name w:val="Revision"/>
    <w:hidden/>
    <w:uiPriority w:val="99"/>
    <w:semiHidden/>
    <w:rsid w:val="00DE1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Marko</cp:lastModifiedBy>
  <cp:revision>7</cp:revision>
  <dcterms:created xsi:type="dcterms:W3CDTF">2022-03-09T21:04:00Z</dcterms:created>
  <dcterms:modified xsi:type="dcterms:W3CDTF">2022-03-14T11:11:00Z</dcterms:modified>
</cp:coreProperties>
</file>